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B3073B" w:rsidRPr="00DE0BA1" w:rsidRDefault="00825835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de Introducción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YOU MAY USE AN EXTRA SHEET OF PAPER TO DO MATHEMATICAL OPERATIONS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Puede realizar sus respuestas en una hoja de desarrollo aparte y adjuntarla a la guía. 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DELIVERY DATE 03/19/2020 UNTIL 23:59 HRS. ONE POINT OF THE FINAL GRADE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BE DEDUCTED PER DAY OF DELAY. (EXAMPLE 6.6 -&amp;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5.6). Fecha de entrega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19/03/2020 hasta las 23:59 hrs. Se descontará un punto de la nota final por día de atraso (ejemplo 6,6 -&amp;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; 5,6).</w:t>
            </w:r>
          </w:p>
          <w:p w:rsidR="00B5128E" w:rsidRPr="00B06F69" w:rsidRDefault="00B5128E" w:rsidP="00B06F69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DELIVER TO MBAEZ@LICEOMIXTO.CL, WITH SUBJECT “FIRST GUIDE MODULE</w:t>
            </w:r>
            <w:r w:rsidR="00B06F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7-11</w:t>
            </w:r>
            <w:bookmarkStart w:id="0" w:name="_GoBack"/>
            <w:bookmarkEnd w:id="0"/>
            <w:r w:rsidRPr="00B06F69">
              <w:rPr>
                <w:rFonts w:ascii="Arial" w:hAnsi="Arial" w:cs="Arial"/>
                <w:b/>
                <w:bCs/>
                <w:sz w:val="18"/>
                <w:szCs w:val="18"/>
              </w:rPr>
              <w:t>”. Entregar a mbaez@liceomixto.cl, c</w:t>
            </w:r>
            <w:r w:rsidR="00B06F69" w:rsidRPr="00B06F69">
              <w:rPr>
                <w:rFonts w:ascii="Arial" w:hAnsi="Arial" w:cs="Arial"/>
                <w:b/>
                <w:bCs/>
                <w:sz w:val="18"/>
                <w:szCs w:val="18"/>
              </w:rPr>
              <w:t>on asunto “Primera guía módulo 7-11</w:t>
            </w:r>
            <w:r w:rsidRPr="00B06F69">
              <w:rPr>
                <w:rFonts w:ascii="Arial" w:hAnsi="Arial" w:cs="Arial"/>
                <w:b/>
                <w:bCs/>
                <w:sz w:val="18"/>
                <w:szCs w:val="18"/>
              </w:rPr>
              <w:t>”.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THE EVENT OF A COPY, ONE POINT OF THE FINAL GRADE WILL BE DEDUCTED</w:t>
            </w:r>
          </w:p>
          <w:p w:rsidR="00B5128E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 EACH PERSON INVOLVED. En caso de copia se descontará un punto de la nota final a cada</w:t>
            </w:r>
          </w:p>
          <w:p w:rsidR="00B3073B" w:rsidRPr="005977AD" w:rsidRDefault="00B5128E" w:rsidP="00B5128E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implicado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3073B" w:rsidRPr="005977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B307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lastRenderedPageBreak/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85" w:rsidRDefault="00B45C85" w:rsidP="00E61FD5">
      <w:pPr>
        <w:spacing w:after="0" w:line="240" w:lineRule="auto"/>
      </w:pPr>
      <w:r>
        <w:separator/>
      </w:r>
    </w:p>
  </w:endnote>
  <w:endnote w:type="continuationSeparator" w:id="0">
    <w:p w:rsidR="00B45C85" w:rsidRDefault="00B45C85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85" w:rsidRDefault="00B45C85" w:rsidP="00E61FD5">
      <w:pPr>
        <w:spacing w:after="0" w:line="240" w:lineRule="auto"/>
      </w:pPr>
      <w:r>
        <w:separator/>
      </w:r>
    </w:p>
  </w:footnote>
  <w:footnote w:type="continuationSeparator" w:id="0">
    <w:p w:rsidR="00B45C85" w:rsidRDefault="00B45C85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703DA4"/>
    <w:rsid w:val="00737AEE"/>
    <w:rsid w:val="007B5D9C"/>
    <w:rsid w:val="00825835"/>
    <w:rsid w:val="0083387E"/>
    <w:rsid w:val="00885CB8"/>
    <w:rsid w:val="008E095E"/>
    <w:rsid w:val="00A0638D"/>
    <w:rsid w:val="00A727A7"/>
    <w:rsid w:val="00A910C5"/>
    <w:rsid w:val="00AC36BE"/>
    <w:rsid w:val="00B06F69"/>
    <w:rsid w:val="00B3073B"/>
    <w:rsid w:val="00B45C85"/>
    <w:rsid w:val="00B5128E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8</cp:revision>
  <dcterms:created xsi:type="dcterms:W3CDTF">2020-03-16T23:18:00Z</dcterms:created>
  <dcterms:modified xsi:type="dcterms:W3CDTF">2020-03-17T00:20:00Z</dcterms:modified>
</cp:coreProperties>
</file>